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2109B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06BD9" w:rsidRPr="00B06BD9">
        <w:rPr>
          <w:rFonts w:ascii="Verdana" w:hAnsi="Verdana"/>
          <w:b/>
          <w:bCs/>
          <w:sz w:val="18"/>
          <w:szCs w:val="18"/>
        </w:rPr>
        <w:t>„</w:t>
      </w:r>
      <w:r w:rsidR="00B06BD9" w:rsidRPr="00B06BD9">
        <w:rPr>
          <w:rFonts w:ascii="Verdana" w:hAnsi="Verdana"/>
          <w:b/>
          <w:sz w:val="18"/>
          <w:szCs w:val="18"/>
        </w:rPr>
        <w:t xml:space="preserve">Výběr </w:t>
      </w:r>
      <w:r w:rsidR="00B06BD9">
        <w:rPr>
          <w:rFonts w:ascii="Verdana" w:hAnsi="Verdana"/>
          <w:b/>
          <w:sz w:val="18"/>
          <w:szCs w:val="18"/>
        </w:rPr>
        <w:br/>
      </w:r>
      <w:r w:rsidR="00B06BD9" w:rsidRPr="00B06BD9">
        <w:rPr>
          <w:rFonts w:ascii="Verdana" w:hAnsi="Verdana"/>
          <w:b/>
          <w:sz w:val="18"/>
          <w:szCs w:val="18"/>
        </w:rPr>
        <w:t>a zpracování tržeb z pokladen turniketů a mincovníků veřejných WC v obvodu OŘ PHA 2025–2026“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6C3B77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06BD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8517889">
    <w:abstractNumId w:val="5"/>
  </w:num>
  <w:num w:numId="2" w16cid:durableId="421879994">
    <w:abstractNumId w:val="1"/>
  </w:num>
  <w:num w:numId="3" w16cid:durableId="1770930858">
    <w:abstractNumId w:val="2"/>
  </w:num>
  <w:num w:numId="4" w16cid:durableId="226497861">
    <w:abstractNumId w:val="4"/>
  </w:num>
  <w:num w:numId="5" w16cid:durableId="1502425933">
    <w:abstractNumId w:val="0"/>
  </w:num>
  <w:num w:numId="6" w16cid:durableId="1170175070">
    <w:abstractNumId w:val="6"/>
  </w:num>
  <w:num w:numId="7" w16cid:durableId="310865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D111D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06BD9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D111D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2025-09-19T07:18:00Z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